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335" w:rsidRPr="00E4378B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E4378B">
        <w:rPr>
          <w:rFonts w:ascii="Times New Roman" w:hAnsi="Times New Roman" w:cs="Times New Roman"/>
          <w:b/>
          <w:sz w:val="28"/>
          <w:szCs w:val="28"/>
        </w:rPr>
        <w:t>Лекция 13. Влияние горных работ на окружающий горный массив. Определение зон сдвижения.</w:t>
      </w:r>
    </w:p>
    <w:bookmarkEnd w:id="0"/>
    <w:p w:rsidR="00E4378B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794E">
        <w:rPr>
          <w:rFonts w:ascii="Times New Roman" w:hAnsi="Times New Roman" w:cs="Times New Roman"/>
          <w:b/>
          <w:sz w:val="28"/>
          <w:szCs w:val="28"/>
        </w:rPr>
        <w:t xml:space="preserve">Виды сдвижения горных пород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В результате подземных горных работ при разработки рудных месторождений </w:t>
      </w:r>
      <w:proofErr w:type="gramStart"/>
      <w:r w:rsidRPr="00F5794E">
        <w:rPr>
          <w:rFonts w:ascii="Times New Roman" w:hAnsi="Times New Roman" w:cs="Times New Roman"/>
          <w:sz w:val="28"/>
          <w:szCs w:val="28"/>
        </w:rPr>
        <w:t>в толще земной коры</w:t>
      </w:r>
      <w:proofErr w:type="gramEnd"/>
      <w:r w:rsidRPr="00F5794E">
        <w:rPr>
          <w:rFonts w:ascii="Times New Roman" w:hAnsi="Times New Roman" w:cs="Times New Roman"/>
          <w:sz w:val="28"/>
          <w:szCs w:val="28"/>
        </w:rPr>
        <w:t xml:space="preserve"> образуются пустые полости. Постепенно они увеличиваются настолько, что устойчивость их нарушается, и они заполняются обрушающимися породами. </w:t>
      </w:r>
      <w:r w:rsidRPr="00F579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 этом обрушение распространяется вверх, что может привести к оседанию поверхности. Этот процесс называется сдвижением горных пород, а горный массив, в котором произошли деформации, называется областью сдвижения. </w:t>
      </w:r>
      <w:r w:rsidRPr="00F5794E">
        <w:rPr>
          <w:rFonts w:ascii="Times New Roman" w:hAnsi="Times New Roman" w:cs="Times New Roman"/>
          <w:sz w:val="28"/>
          <w:szCs w:val="28"/>
        </w:rPr>
        <w:t xml:space="preserve">При плавном оседании над месторождением возникает углубление в земной поверхности – мульда оседания. При обрушении на поверхности образуются зоны обрушения, зоны сдвижения или отдельные провальные воронки (рис.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F5794E">
        <w:rPr>
          <w:rFonts w:ascii="Times New Roman" w:hAnsi="Times New Roman" w:cs="Times New Roman"/>
          <w:sz w:val="28"/>
          <w:szCs w:val="28"/>
        </w:rPr>
        <w:t>.1).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79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области сдвижения различают: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79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– зону обрушения – область с разломом и разрушением пород;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79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– зону сдвижения – область с деформациями пород без разрыва </w:t>
      </w:r>
      <w:proofErr w:type="spellStart"/>
      <w:r w:rsidRPr="00F5794E">
        <w:rPr>
          <w:rFonts w:ascii="Times New Roman" w:eastAsia="Calibri" w:hAnsi="Times New Roman" w:cs="Times New Roman"/>
          <w:sz w:val="28"/>
          <w:szCs w:val="28"/>
          <w:lang w:eastAsia="ru-RU"/>
        </w:rPr>
        <w:t>сплошности</w:t>
      </w:r>
      <w:proofErr w:type="spellEnd"/>
      <w:r w:rsidRPr="00F579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массива.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C8A79B5" wp14:editId="176C073F">
            <wp:extent cx="4975030" cy="3390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9358" cy="3400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378B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Рис. 4.1. Схема сдвижения горных пород при разработке месторождения: 1 – граница области сдвижения; 2 – граница области опасных </w:t>
      </w:r>
      <w:proofErr w:type="spellStart"/>
      <w:r w:rsidRPr="00F5794E">
        <w:rPr>
          <w:rFonts w:ascii="Times New Roman" w:hAnsi="Times New Roman" w:cs="Times New Roman"/>
          <w:sz w:val="28"/>
          <w:szCs w:val="28"/>
        </w:rPr>
        <w:t>сдвижений</w:t>
      </w:r>
      <w:proofErr w:type="spellEnd"/>
      <w:r w:rsidRPr="00F5794E">
        <w:rPr>
          <w:rFonts w:ascii="Times New Roman" w:hAnsi="Times New Roman" w:cs="Times New Roman"/>
          <w:sz w:val="28"/>
          <w:szCs w:val="28"/>
        </w:rPr>
        <w:t xml:space="preserve">; 3 – граница зоны обрушения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Часть земной поверхности, подвергающаяся сдвижению с величиной оседания более 10 мм, называется </w:t>
      </w:r>
      <w:r w:rsidRPr="00F5794E">
        <w:rPr>
          <w:rFonts w:ascii="Times New Roman" w:hAnsi="Times New Roman" w:cs="Times New Roman"/>
          <w:b/>
          <w:i/>
          <w:sz w:val="28"/>
          <w:szCs w:val="28"/>
        </w:rPr>
        <w:t>мульдой сдвижения</w:t>
      </w:r>
      <w:r w:rsidRPr="00F579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Системы разработки с обрушением характеризуются активным процессом сдвижения и деформирования толщи пород и земной поверхности с отсутствием отчетливо выраженных поверхностей сдвига пород по </w:t>
      </w:r>
      <w:r w:rsidRPr="00F5794E">
        <w:rPr>
          <w:rFonts w:ascii="Times New Roman" w:hAnsi="Times New Roman" w:cs="Times New Roman"/>
          <w:sz w:val="28"/>
          <w:szCs w:val="28"/>
        </w:rPr>
        <w:lastRenderedPageBreak/>
        <w:t xml:space="preserve">напластованию. Для систем с закладкой характерно отсутствие или медленное, плавное развитие сдвижения земной поверхности. Провалы и крупные трещины не образуются. При добыче руды с управлением горным давлением оставлением регулярных рудных целиков процесс сдвижения горных пород может длительное время не проявляться на земной поверхности. Однако со временем целики и кровля между ними постепенно деформируются и разрушаются. Поддержание земной поверхности в некоторых условиях может осуществляться комбинированным способом управления горным давлением: с оставлением регулярных целиков и сухой (гидравлической) закладкой выработанного пространства между ними. </w:t>
      </w:r>
    </w:p>
    <w:p w:rsidR="00E4378B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C7F">
        <w:rPr>
          <w:rFonts w:ascii="Times New Roman" w:hAnsi="Times New Roman" w:cs="Times New Roman"/>
          <w:sz w:val="28"/>
          <w:szCs w:val="28"/>
        </w:rPr>
        <w:t xml:space="preserve">Если мощность рудного тела незначительна и разработка месторождения ведется на больших глубинах, сдвижение пород может не достигать поверхности. Глубина горных работ, при которой подземная разработка рудного тела не вызывает сдвижения земной поверхности, называется </w:t>
      </w:r>
      <w:r w:rsidRPr="00725C7F">
        <w:rPr>
          <w:rFonts w:ascii="Times New Roman" w:hAnsi="Times New Roman" w:cs="Times New Roman"/>
          <w:b/>
          <w:i/>
          <w:sz w:val="28"/>
          <w:szCs w:val="28"/>
        </w:rPr>
        <w:t>безопасной</w:t>
      </w:r>
      <w:r w:rsidRPr="00725C7F">
        <w:rPr>
          <w:rFonts w:ascii="Times New Roman" w:hAnsi="Times New Roman" w:cs="Times New Roman"/>
          <w:sz w:val="28"/>
          <w:szCs w:val="28"/>
        </w:rPr>
        <w:t xml:space="preserve">. Отношение минимальной безопасной глубины к мощности рудного тела называется </w:t>
      </w:r>
      <w:r w:rsidRPr="00725C7F">
        <w:rPr>
          <w:rFonts w:ascii="Times New Roman" w:hAnsi="Times New Roman" w:cs="Times New Roman"/>
          <w:b/>
          <w:i/>
          <w:sz w:val="28"/>
          <w:szCs w:val="28"/>
        </w:rPr>
        <w:t>коэффициентом безопасности</w:t>
      </w:r>
      <w:r w:rsidRPr="00725C7F">
        <w:rPr>
          <w:rFonts w:ascii="Times New Roman" w:hAnsi="Times New Roman" w:cs="Times New Roman"/>
          <w:sz w:val="28"/>
          <w:szCs w:val="28"/>
        </w:rPr>
        <w:t xml:space="preserve"> и зависит от физико-механических свойств пород. </w:t>
      </w:r>
    </w:p>
    <w:p w:rsidR="00E4378B" w:rsidRPr="00725C7F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C7F">
        <w:rPr>
          <w:rFonts w:ascii="Times New Roman" w:hAnsi="Times New Roman" w:cs="Times New Roman"/>
          <w:sz w:val="28"/>
          <w:szCs w:val="28"/>
        </w:rPr>
        <w:t xml:space="preserve">В зависимости от условий ведения горных работ коэффициент безопасности ориентировочно равен: </w:t>
      </w:r>
    </w:p>
    <w:p w:rsidR="00E4378B" w:rsidRPr="00725C7F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C7F">
        <w:rPr>
          <w:rFonts w:ascii="Times New Roman" w:hAnsi="Times New Roman" w:cs="Times New Roman"/>
          <w:sz w:val="28"/>
          <w:szCs w:val="28"/>
        </w:rPr>
        <w:t xml:space="preserve">– при работах без закладки – 200; </w:t>
      </w:r>
    </w:p>
    <w:p w:rsidR="00E4378B" w:rsidRPr="00725C7F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C7F">
        <w:rPr>
          <w:rFonts w:ascii="Times New Roman" w:hAnsi="Times New Roman" w:cs="Times New Roman"/>
          <w:sz w:val="28"/>
          <w:szCs w:val="28"/>
        </w:rPr>
        <w:t xml:space="preserve">– при работах с сыпучей закладкой – 80; </w:t>
      </w:r>
    </w:p>
    <w:p w:rsidR="00E4378B" w:rsidRPr="00725C7F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C7F">
        <w:rPr>
          <w:rFonts w:ascii="Times New Roman" w:hAnsi="Times New Roman" w:cs="Times New Roman"/>
          <w:sz w:val="28"/>
          <w:szCs w:val="28"/>
        </w:rPr>
        <w:t xml:space="preserve">– при работах с твердеющей закладкой – 30.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794E">
        <w:rPr>
          <w:rFonts w:ascii="Times New Roman" w:hAnsi="Times New Roman" w:cs="Times New Roman"/>
          <w:b/>
          <w:sz w:val="28"/>
          <w:szCs w:val="28"/>
        </w:rPr>
        <w:t xml:space="preserve">Определение зон сдвижения горных пород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Сдвижение горных пород происходит по криволинейным поверхностям, но при выполнении графических построений их принимают за плоскости, которые образуют с горизонтом углы сдвижения и углы разрывов. По углам сдвижения можно определить возможные зоны деформации поверхности. Это позволяет принимать решения о размещении поверхностных и подземных горнотехнических сооружений, которые могут выйти из строя даже при небольших деформациях массива горных пород. Обезопасить поверхностные и подземные горнотехнических сооружения от последствий сдвижения вмещающих пород можно следующими способами: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– располагать сооружения за пределами зоны сдвижения горных пород;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– оставлять под сооружениями охранные целики из руды;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– применять системы разработки с твердеющей закладкой.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При определении зон сдвижения горных пород различают: 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– угол сдвижения пород лежачего бока γ;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– угол сдвижения пород висячего бока β;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– угол сдвижения пород по простиранию δ;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– угол сдвижения наносных пород φ.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Точки, где проявилось сдвижение поверхности, отмечают на разрезе </w:t>
      </w:r>
      <w:proofErr w:type="spellStart"/>
      <w:r w:rsidRPr="00F5794E">
        <w:rPr>
          <w:rFonts w:ascii="Times New Roman" w:hAnsi="Times New Roman" w:cs="Times New Roman"/>
          <w:sz w:val="28"/>
          <w:szCs w:val="28"/>
        </w:rPr>
        <w:t>вкрест</w:t>
      </w:r>
      <w:proofErr w:type="spellEnd"/>
      <w:r w:rsidRPr="00F5794E">
        <w:rPr>
          <w:rFonts w:ascii="Times New Roman" w:hAnsi="Times New Roman" w:cs="Times New Roman"/>
          <w:sz w:val="28"/>
          <w:szCs w:val="28"/>
        </w:rPr>
        <w:t xml:space="preserve"> простирания и соединяют с контуром рудного тела на горизонте, где произведена отработка руды. Таким образом получают углы сдвижения. Углы </w:t>
      </w:r>
      <w:r w:rsidRPr="00F5794E">
        <w:rPr>
          <w:rFonts w:ascii="Times New Roman" w:hAnsi="Times New Roman" w:cs="Times New Roman"/>
          <w:sz w:val="28"/>
          <w:szCs w:val="28"/>
        </w:rPr>
        <w:lastRenderedPageBreak/>
        <w:t>сдвижения зависит от многих факторов: строения пород, углов падения залежей, глубины горных работ, порядка отработки месторождения и т.д. Когда углы сдвижения для месторождения не известны, их величину рекомендуется определять в соответствии с данными, приведенными в табл</w:t>
      </w:r>
      <w:r>
        <w:rPr>
          <w:rFonts w:ascii="Times New Roman" w:hAnsi="Times New Roman" w:cs="Times New Roman"/>
          <w:sz w:val="28"/>
          <w:szCs w:val="28"/>
        </w:rPr>
        <w:t>ице</w:t>
      </w:r>
      <w:r w:rsidRPr="00F5794E">
        <w:rPr>
          <w:rFonts w:ascii="Times New Roman" w:hAnsi="Times New Roman" w:cs="Times New Roman"/>
          <w:sz w:val="28"/>
          <w:szCs w:val="28"/>
        </w:rPr>
        <w:t xml:space="preserve"> 4.1 для средневзвешенного значения прочности и строения пород.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В наносных породах угол сдвижения принимают равным во всех направлениях. В сухих (необводненных) породах </w:t>
      </w:r>
      <w:r w:rsidRPr="00F5794E">
        <w:rPr>
          <w:rFonts w:ascii="Times New Roman" w:hAnsi="Times New Roman" w:cs="Times New Roman"/>
          <w:i/>
          <w:sz w:val="28"/>
          <w:szCs w:val="28"/>
        </w:rPr>
        <w:t>φ=50°</w:t>
      </w:r>
      <w:r w:rsidRPr="00F5794E">
        <w:rPr>
          <w:rFonts w:ascii="Times New Roman" w:hAnsi="Times New Roman" w:cs="Times New Roman"/>
          <w:sz w:val="28"/>
          <w:szCs w:val="28"/>
        </w:rPr>
        <w:t>, но не превышает значений углов сдвижения. При мощности рудных тел &gt;15 м, глубине разработки &lt;100 м, мощности наносов более 30 м угол φ принимают равным 40°. В обводненных наносах значение φ принимается равным 35°.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Шахтные стволы и другие сооружения на поверхности, которые должны служить десятки лет, не допускают даже малых смещений земной поверхности и не могут строиться в пределах зоны влияния горных работ. Так как при выборе углов сдвижения и обрушения горных пород нельзя учесть все факторы, которые могут оказывать влияние на размеры зоны сдвижения и обрушения, при выборе места заложения основных вскрывающих выработок оставляют бермы безопасности. </w:t>
      </w:r>
      <w:r w:rsidRPr="00F5794E">
        <w:rPr>
          <w:rFonts w:ascii="Times New Roman" w:hAnsi="Times New Roman" w:cs="Times New Roman"/>
          <w:b/>
          <w:i/>
          <w:sz w:val="28"/>
          <w:szCs w:val="28"/>
        </w:rPr>
        <w:t>Бермой безопасности</w:t>
      </w:r>
      <w:r w:rsidRPr="00F5794E">
        <w:rPr>
          <w:rFonts w:ascii="Times New Roman" w:hAnsi="Times New Roman" w:cs="Times New Roman"/>
          <w:sz w:val="28"/>
          <w:szCs w:val="28"/>
        </w:rPr>
        <w:t xml:space="preserve"> называется расстояние от зоны сдвижения до места расположения поверхностных сооружений, учитывающая возможные снижения углов сдвижения, которые могут быть меньше, чем запроектированные. Берму безопасности применяют шириной </w:t>
      </w:r>
      <w:r w:rsidRPr="00F5794E"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F5794E">
        <w:rPr>
          <w:rFonts w:ascii="Times New Roman" w:hAnsi="Times New Roman" w:cs="Times New Roman"/>
          <w:sz w:val="28"/>
          <w:szCs w:val="28"/>
        </w:rPr>
        <w:t xml:space="preserve">=20 м для стволов шахт, поверхностных сооружений и полотна железной дороги. Для прочих сооружений ширину бермы принимают </w:t>
      </w:r>
      <w:r w:rsidRPr="00F5794E"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F5794E">
        <w:rPr>
          <w:rFonts w:ascii="Times New Roman" w:hAnsi="Times New Roman" w:cs="Times New Roman"/>
          <w:sz w:val="28"/>
          <w:szCs w:val="28"/>
        </w:rPr>
        <w:t xml:space="preserve">=10 м. При проектировании крупных промышленных сооружений, капитальных стволов, шахт, расположенных в лежачем боку мощных крутопадающих залежей, имеющих значительную протяженность по простиранию и падению, ширину предохранительной бермы увеличивают до 50м. Эти бермы создают определенную гарантию для сохранности сооружений в случае уменьшения углов сдвижения. Поэтому вскрывающие выработки всегда располагают вне зоны влияния горных работ.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>Таблица 4.1 - Углы сдвижения пород для средневзвешенного значения прочности горных пород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1701"/>
        <w:gridCol w:w="850"/>
        <w:gridCol w:w="993"/>
        <w:gridCol w:w="986"/>
      </w:tblGrid>
      <w:tr w:rsidR="00E4378B" w:rsidRPr="00F5794E" w:rsidTr="0036663B">
        <w:tc>
          <w:tcPr>
            <w:tcW w:w="2547" w:type="dxa"/>
            <w:vMerge w:val="restart"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Тип и строение массива горных пород</w:t>
            </w:r>
          </w:p>
        </w:tc>
        <w:tc>
          <w:tcPr>
            <w:tcW w:w="2268" w:type="dxa"/>
            <w:vMerge w:val="restart"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Прочность горных пород, МПа</w:t>
            </w:r>
          </w:p>
        </w:tc>
        <w:tc>
          <w:tcPr>
            <w:tcW w:w="1701" w:type="dxa"/>
            <w:vMerge w:val="restart"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Угол падения рудных тел α, градус</w:t>
            </w:r>
          </w:p>
        </w:tc>
        <w:tc>
          <w:tcPr>
            <w:tcW w:w="2829" w:type="dxa"/>
            <w:gridSpan w:val="3"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Угол сдвижения, град</w:t>
            </w:r>
          </w:p>
        </w:tc>
      </w:tr>
      <w:tr w:rsidR="00E4378B" w:rsidRPr="00F5794E" w:rsidTr="0036663B">
        <w:tc>
          <w:tcPr>
            <w:tcW w:w="2547" w:type="dxa"/>
            <w:vMerge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δ</w:t>
            </w:r>
          </w:p>
        </w:tc>
        <w:tc>
          <w:tcPr>
            <w:tcW w:w="993" w:type="dxa"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β</w:t>
            </w:r>
          </w:p>
        </w:tc>
        <w:tc>
          <w:tcPr>
            <w:tcW w:w="986" w:type="dxa"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γ</w:t>
            </w:r>
          </w:p>
        </w:tc>
      </w:tr>
      <w:tr w:rsidR="00E4378B" w:rsidRPr="00F5794E" w:rsidTr="0036663B">
        <w:trPr>
          <w:trHeight w:val="928"/>
        </w:trPr>
        <w:tc>
          <w:tcPr>
            <w:tcW w:w="2547" w:type="dxa"/>
            <w:vMerge w:val="restart"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слоистое</w:t>
            </w:r>
          </w:p>
        </w:tc>
        <w:tc>
          <w:tcPr>
            <w:tcW w:w="2268" w:type="dxa"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&lt; 50</w:t>
            </w:r>
          </w:p>
        </w:tc>
        <w:tc>
          <w:tcPr>
            <w:tcW w:w="1701" w:type="dxa"/>
          </w:tcPr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0 – 45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46 – 75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76 – 90 </w:t>
            </w:r>
          </w:p>
        </w:tc>
        <w:tc>
          <w:tcPr>
            <w:tcW w:w="850" w:type="dxa"/>
          </w:tcPr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55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55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993" w:type="dxa"/>
          </w:tcPr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45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40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986" w:type="dxa"/>
          </w:tcPr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55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40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E4378B" w:rsidRPr="00F5794E" w:rsidTr="0036663B">
        <w:tc>
          <w:tcPr>
            <w:tcW w:w="2547" w:type="dxa"/>
            <w:vMerge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50 – 80</w:t>
            </w:r>
          </w:p>
        </w:tc>
        <w:tc>
          <w:tcPr>
            <w:tcW w:w="1701" w:type="dxa"/>
          </w:tcPr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0 – 45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46 – 60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61 – 75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76 – 90</w:t>
            </w:r>
          </w:p>
        </w:tc>
        <w:tc>
          <w:tcPr>
            <w:tcW w:w="850" w:type="dxa"/>
          </w:tcPr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60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60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60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993" w:type="dxa"/>
          </w:tcPr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50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40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40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986" w:type="dxa"/>
          </w:tcPr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60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60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50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E4378B" w:rsidRPr="00F5794E" w:rsidTr="0036663B">
        <w:tc>
          <w:tcPr>
            <w:tcW w:w="2547" w:type="dxa"/>
            <w:vMerge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&gt; 80</w:t>
            </w:r>
          </w:p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0 – 45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46 – 60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61 – 75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76 – 90 </w:t>
            </w:r>
          </w:p>
        </w:tc>
        <w:tc>
          <w:tcPr>
            <w:tcW w:w="850" w:type="dxa"/>
          </w:tcPr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65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65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65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65 </w:t>
            </w:r>
          </w:p>
        </w:tc>
        <w:tc>
          <w:tcPr>
            <w:tcW w:w="993" w:type="dxa"/>
          </w:tcPr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45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50 </w:t>
            </w:r>
          </w:p>
        </w:tc>
        <w:tc>
          <w:tcPr>
            <w:tcW w:w="986" w:type="dxa"/>
          </w:tcPr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65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65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50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50 </w:t>
            </w:r>
          </w:p>
        </w:tc>
      </w:tr>
      <w:tr w:rsidR="00E4378B" w:rsidRPr="00F5794E" w:rsidTr="0036663B">
        <w:tc>
          <w:tcPr>
            <w:tcW w:w="2547" w:type="dxa"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неслоистое</w:t>
            </w:r>
          </w:p>
        </w:tc>
        <w:tc>
          <w:tcPr>
            <w:tcW w:w="2268" w:type="dxa"/>
          </w:tcPr>
          <w:p w:rsidR="00E4378B" w:rsidRPr="00F5794E" w:rsidRDefault="00E4378B" w:rsidP="003666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≥ 80</w:t>
            </w:r>
          </w:p>
        </w:tc>
        <w:tc>
          <w:tcPr>
            <w:tcW w:w="1701" w:type="dxa"/>
          </w:tcPr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0 – 30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31 – 50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51 – 75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>76 – 90</w:t>
            </w:r>
          </w:p>
        </w:tc>
        <w:tc>
          <w:tcPr>
            <w:tcW w:w="850" w:type="dxa"/>
          </w:tcPr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70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70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70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70 </w:t>
            </w:r>
          </w:p>
        </w:tc>
        <w:tc>
          <w:tcPr>
            <w:tcW w:w="993" w:type="dxa"/>
          </w:tcPr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70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65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65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65 </w:t>
            </w:r>
          </w:p>
        </w:tc>
        <w:tc>
          <w:tcPr>
            <w:tcW w:w="986" w:type="dxa"/>
          </w:tcPr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70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65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α </w:t>
            </w:r>
          </w:p>
          <w:p w:rsidR="00E4378B" w:rsidRPr="00F5794E" w:rsidRDefault="00E4378B" w:rsidP="003666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94E">
              <w:rPr>
                <w:rFonts w:ascii="Times New Roman" w:hAnsi="Times New Roman" w:cs="Times New Roman"/>
                <w:sz w:val="28"/>
                <w:szCs w:val="28"/>
              </w:rPr>
              <w:t xml:space="preserve">65 </w:t>
            </w:r>
          </w:p>
        </w:tc>
      </w:tr>
    </w:tbl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4378B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Построение зоны сдвижения горных пород производят в следующем порядке. На разрезах </w:t>
      </w:r>
      <w:proofErr w:type="spellStart"/>
      <w:r w:rsidRPr="00F5794E">
        <w:rPr>
          <w:rFonts w:ascii="Times New Roman" w:hAnsi="Times New Roman" w:cs="Times New Roman"/>
          <w:sz w:val="28"/>
          <w:szCs w:val="28"/>
        </w:rPr>
        <w:t>вкрест</w:t>
      </w:r>
      <w:proofErr w:type="spellEnd"/>
      <w:r w:rsidRPr="00F5794E">
        <w:rPr>
          <w:rFonts w:ascii="Times New Roman" w:hAnsi="Times New Roman" w:cs="Times New Roman"/>
          <w:sz w:val="28"/>
          <w:szCs w:val="28"/>
        </w:rPr>
        <w:t xml:space="preserve"> и по простиранию вычерчивают рудное тело и границу наносных пород. Далее откладывают углы сдвижения пород висячего и лежачего боков, а также углы сдвижения пород по простиранию и проводят линии до границы наносных пород. Угол сдвижения пород лежачего бока не должен превышать угол падения рудного тела. Затем откладывают углы сдвижения наносных пород и проводят линии до пересечения с земной поверхностью на которой получают границу зоны сдвижения. После чего от границы зоны сдвижения откладывают берму безопасности и определяют место расположения стволов. </w:t>
      </w:r>
    </w:p>
    <w:p w:rsidR="00E4378B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4378B" w:rsidRPr="00C5432E" w:rsidRDefault="00E4378B" w:rsidP="00E4378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543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рис.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4</w:t>
      </w:r>
      <w:r w:rsidRPr="00C5432E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2</w:t>
      </w:r>
      <w:r w:rsidRPr="00C543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приведен пример определения места расположения вертикального ствола на поверхности вне зоны сдвижения.</w:t>
      </w:r>
    </w:p>
    <w:p w:rsidR="00E4378B" w:rsidRPr="00C5432E" w:rsidRDefault="00E4378B" w:rsidP="00E4378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E4378B" w:rsidRPr="00C5432E" w:rsidRDefault="00E4378B" w:rsidP="00E437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5432E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65EC458" wp14:editId="1C9F3040">
            <wp:extent cx="5931535" cy="369760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69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378B" w:rsidRPr="00C5432E" w:rsidRDefault="00E4378B" w:rsidP="00E437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E4378B" w:rsidRPr="00C5432E" w:rsidRDefault="00E4378B" w:rsidP="00E4378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543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Рис.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4.2</w:t>
      </w:r>
      <w:r w:rsidRPr="00C543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Построение зоны сдвижения горных пород: 1 – </w:t>
      </w:r>
      <w:proofErr w:type="gramStart"/>
      <w:r w:rsidRPr="00C5432E">
        <w:rPr>
          <w:rFonts w:ascii="Times New Roman" w:eastAsia="Calibri" w:hAnsi="Times New Roman" w:cs="Times New Roman"/>
          <w:sz w:val="28"/>
          <w:szCs w:val="28"/>
          <w:lang w:eastAsia="ru-RU"/>
        </w:rPr>
        <w:t>ствол;  2</w:t>
      </w:r>
      <w:proofErr w:type="gramEnd"/>
      <w:r w:rsidRPr="00C543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предохранительная берма на поверхности; 3 – граница сдвижения пород;  α – угол падения рудной залежи; βл и βв – углы сдвижения пород  соответственно лежачего и висячего бока; φ – угол сдвижения в наносах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794E">
        <w:rPr>
          <w:rFonts w:ascii="Times New Roman" w:hAnsi="Times New Roman" w:cs="Times New Roman"/>
          <w:b/>
          <w:sz w:val="28"/>
          <w:szCs w:val="28"/>
        </w:rPr>
        <w:t xml:space="preserve">Построение границ охранных целиков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>Если шахтное поле имеет очень большие размеры, то вскрывающие выработки можно располагать над рудным телом, обязательно оставляя под ними в рудном теле охранные целики. Построение границ охранного целика произв</w:t>
      </w:r>
      <w:r>
        <w:rPr>
          <w:rFonts w:ascii="Times New Roman" w:hAnsi="Times New Roman" w:cs="Times New Roman"/>
          <w:sz w:val="28"/>
          <w:szCs w:val="28"/>
        </w:rPr>
        <w:t>одят следующим образом (рис. 4.3</w:t>
      </w:r>
      <w:r w:rsidRPr="00F5794E">
        <w:rPr>
          <w:rFonts w:ascii="Times New Roman" w:hAnsi="Times New Roman" w:cs="Times New Roman"/>
          <w:sz w:val="28"/>
          <w:szCs w:val="28"/>
        </w:rPr>
        <w:t xml:space="preserve">). На разрезе в крест простирания рудного тела в районе ствола выделяют площадку, необходимую для размещения поверхностных сооружений с учетом берм безопасности. Далее определяют зону сдвижения – первоначально в наносах, а затем в коренных породах. Линия пересечения поверхностей сдвижения с рудной залежью является границей охранного целика. Охранные целики, как правило, не подлежат выемке, так как разработка охранных целиков связана с большими трудностями. Потери руды при выемке целиков достигают 30–50%. В охранных целиках на длительный срок консервируются большие запасы руды, особенно при разработке мощных месторождений.  </w:t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20AB748" wp14:editId="10260932">
            <wp:extent cx="3633747" cy="4019452"/>
            <wp:effectExtent l="0" t="0" r="508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612" cy="4029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>Рис. 4.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F5794E">
        <w:rPr>
          <w:rFonts w:ascii="Times New Roman" w:hAnsi="Times New Roman" w:cs="Times New Roman"/>
          <w:sz w:val="28"/>
          <w:szCs w:val="28"/>
        </w:rPr>
        <w:t>. Расчетная схема построения границ охранного целика: 1 – промышленная площадка; 2 – берма безопасности; 3 – охранный целик; γ’ – угол сдвижения руды</w:t>
      </w:r>
    </w:p>
    <w:p w:rsidR="00E4378B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4378B" w:rsidRPr="00F5794E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94E">
        <w:rPr>
          <w:rFonts w:ascii="Times New Roman" w:hAnsi="Times New Roman" w:cs="Times New Roman"/>
          <w:sz w:val="28"/>
          <w:szCs w:val="28"/>
        </w:rPr>
        <w:t xml:space="preserve">Однако, после того как минует надобность в стволе и отработка охранного целика необходима, то руду из него можно добыть. Для этого выработанное пространство тщательно заполняют материалами, </w:t>
      </w:r>
      <w:r w:rsidRPr="00F5794E">
        <w:rPr>
          <w:rFonts w:ascii="Times New Roman" w:hAnsi="Times New Roman" w:cs="Times New Roman"/>
          <w:sz w:val="28"/>
          <w:szCs w:val="28"/>
        </w:rPr>
        <w:lastRenderedPageBreak/>
        <w:t>препятствующими сдвижению налегающих пород. Если требуется сохранение земной поверхности, полости заполняют сухой закладкой, т.е. материалом, не содержащим полезных компонентов (песок, дробленая порода, шлак). Это уменьшает деформацию вмещающих пород и при разработке тонких месторождений исключает их обрушение. При разработке мощных месторождений применение сухой закладки лишь замедляет процесс сдвижения пород, но не исключает возможность их обрушения и сдвижения поверхности, поэтому практикуют разработку месторождений с заполнением выработанного пространства твердеющей закладкой, которая предохраняет вмещающие породы от обрушения.</w:t>
      </w:r>
    </w:p>
    <w:p w:rsidR="00E4378B" w:rsidRPr="00E4378B" w:rsidRDefault="00E4378B" w:rsidP="00E43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E4378B" w:rsidRPr="00E437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78B"/>
    <w:rsid w:val="00A44335"/>
    <w:rsid w:val="00E43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EE534"/>
  <w15:chartTrackingRefBased/>
  <w15:docId w15:val="{E0D93D61-5133-4755-98CA-A710BFE1C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E437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E437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1404</Words>
  <Characters>8009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2020-01-31T09:14:00Z</dcterms:created>
  <dcterms:modified xsi:type="dcterms:W3CDTF">2020-01-31T09:16:00Z</dcterms:modified>
</cp:coreProperties>
</file>